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Zaměření ZZ  a kontrolní měření PPK č. 1 + vybrané koleje ve stanicích, TÚ 2251 Ostrava Svinov – Opava Východ v km 262,313 – 290,404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Zaměření ZZ  a kontrolní měření PPK č. 1 + vybrané koleje ve stanicích, TÚ 2251 Ostrava Svinov – Opava Východ v km 262,313 – 290,404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24.11.2019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